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42EDCB" w14:textId="77777777" w:rsidR="00C608DC" w:rsidRPr="00F16552" w:rsidRDefault="00C608DC" w:rsidP="00C608DC">
      <w:pPr>
        <w:spacing w:after="0" w:line="36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F16552">
        <w:rPr>
          <w:rFonts w:ascii="Arial" w:eastAsia="Times New Roman" w:hAnsi="Arial" w:cs="Arial"/>
          <w:b/>
          <w:sz w:val="20"/>
          <w:szCs w:val="20"/>
          <w:lang w:eastAsia="pl-PL"/>
        </w:rPr>
        <w:t>Instrukcja</w:t>
      </w:r>
    </w:p>
    <w:p w14:paraId="24A97A29" w14:textId="77777777" w:rsidR="00C608DC" w:rsidRPr="00B2379F" w:rsidRDefault="00C608DC" w:rsidP="00C608DC">
      <w:pPr>
        <w:spacing w:after="0" w:line="360" w:lineRule="auto"/>
        <w:jc w:val="both"/>
        <w:rPr>
          <w:rFonts w:ascii="Arial" w:eastAsiaTheme="majorEastAsia" w:hAnsi="Arial" w:cs="Arial"/>
          <w:b/>
          <w:sz w:val="20"/>
          <w:szCs w:val="20"/>
        </w:rPr>
      </w:pPr>
      <w:r w:rsidRPr="00B2379F">
        <w:rPr>
          <w:rFonts w:ascii="Arial" w:eastAsiaTheme="majorEastAsia" w:hAnsi="Arial" w:cs="Arial"/>
          <w:b/>
          <w:sz w:val="20"/>
          <w:szCs w:val="20"/>
        </w:rPr>
        <w:t xml:space="preserve">Noclegi i wyżywienie pracowników podczas podróży służbowej </w:t>
      </w:r>
    </w:p>
    <w:p w14:paraId="14C04293" w14:textId="77777777" w:rsidR="00C608DC" w:rsidRPr="00F16552" w:rsidRDefault="00C608DC" w:rsidP="00C608DC">
      <w:pPr>
        <w:spacing w:after="0" w:line="360" w:lineRule="auto"/>
        <w:jc w:val="both"/>
        <w:rPr>
          <w:rFonts w:ascii="Arial" w:eastAsiaTheme="majorEastAsia" w:hAnsi="Arial" w:cs="Arial"/>
          <w:bCs/>
          <w:sz w:val="20"/>
          <w:szCs w:val="20"/>
        </w:rPr>
      </w:pPr>
      <w:r w:rsidRPr="00F16552">
        <w:rPr>
          <w:rFonts w:ascii="Arial" w:eastAsiaTheme="majorEastAsia" w:hAnsi="Arial" w:cs="Arial"/>
          <w:bCs/>
          <w:sz w:val="20"/>
          <w:szCs w:val="20"/>
        </w:rPr>
        <w:t>Luiza Pieprzyk</w:t>
      </w:r>
    </w:p>
    <w:p w14:paraId="2EC6C66A" w14:textId="77777777" w:rsidR="00C608DC" w:rsidRDefault="00C608DC" w:rsidP="00C608DC">
      <w:pPr>
        <w:spacing w:after="0" w:line="360" w:lineRule="auto"/>
        <w:jc w:val="both"/>
        <w:rPr>
          <w:rFonts w:ascii="Arial" w:eastAsiaTheme="majorEastAsia" w:hAnsi="Arial" w:cs="Arial"/>
          <w:color w:val="000000"/>
          <w:sz w:val="20"/>
          <w:szCs w:val="20"/>
        </w:rPr>
      </w:pPr>
    </w:p>
    <w:p w14:paraId="1AB68F27" w14:textId="77777777" w:rsidR="00C608DC" w:rsidRPr="00F16552" w:rsidRDefault="00C608DC" w:rsidP="00C608DC">
      <w:pPr>
        <w:spacing w:after="0" w:line="360" w:lineRule="auto"/>
        <w:jc w:val="both"/>
        <w:rPr>
          <w:rFonts w:ascii="Arial" w:eastAsiaTheme="majorEastAsia" w:hAnsi="Arial" w:cs="Arial"/>
          <w:color w:val="000000"/>
          <w:sz w:val="20"/>
          <w:szCs w:val="20"/>
        </w:rPr>
      </w:pPr>
      <w:r w:rsidRPr="00F16552">
        <w:rPr>
          <w:rFonts w:ascii="Arial" w:eastAsiaTheme="majorEastAsia" w:hAnsi="Arial" w:cs="Arial"/>
          <w:color w:val="000000"/>
          <w:sz w:val="20"/>
          <w:szCs w:val="20"/>
        </w:rPr>
        <w:t>Podatnik nie odliczy VAT z faktur za posiłek w restauracji czy kawiarni ani za pobyt w hotelu, nawet gdy ma to związek ze spotkaniem biznesowym. Wynika to wprost z art. 88 ust. 1 pkt 4 ustawy o VAT. Inaczej jest w wypadku zamówienia cateringu do firmy czy na spotkanie poza siedzibą firmy. Nie są to usługi gastronomiczne. W klasyfikacji PKWiU 2008 w dziale 56 zostały sklasyfikowane „Usługi związane z</w:t>
      </w:r>
      <w:r>
        <w:rPr>
          <w:rFonts w:ascii="Arial" w:eastAsiaTheme="majorEastAsia" w:hAnsi="Arial" w:cs="Arial"/>
          <w:color w:val="000000"/>
          <w:sz w:val="20"/>
          <w:szCs w:val="20"/>
        </w:rPr>
        <w:t> </w:t>
      </w:r>
      <w:r w:rsidRPr="00F16552">
        <w:rPr>
          <w:rFonts w:ascii="Arial" w:eastAsiaTheme="majorEastAsia" w:hAnsi="Arial" w:cs="Arial"/>
          <w:color w:val="000000"/>
          <w:sz w:val="20"/>
          <w:szCs w:val="20"/>
        </w:rPr>
        <w:t>wyżywieniem”</w:t>
      </w:r>
      <w:r>
        <w:rPr>
          <w:rFonts w:ascii="Arial" w:eastAsiaTheme="majorEastAsia" w:hAnsi="Arial" w:cs="Arial"/>
          <w:color w:val="000000"/>
          <w:sz w:val="20"/>
          <w:szCs w:val="20"/>
        </w:rPr>
        <w:t xml:space="preserve"> –</w:t>
      </w:r>
      <w:r w:rsidRPr="00F16552">
        <w:rPr>
          <w:rFonts w:ascii="Arial" w:eastAsiaTheme="majorEastAsia" w:hAnsi="Arial" w:cs="Arial"/>
          <w:color w:val="000000"/>
          <w:sz w:val="20"/>
          <w:szCs w:val="20"/>
        </w:rPr>
        <w:t xml:space="preserve"> </w:t>
      </w:r>
      <w:r>
        <w:rPr>
          <w:rFonts w:ascii="Arial" w:eastAsiaTheme="majorEastAsia" w:hAnsi="Arial" w:cs="Arial"/>
          <w:color w:val="000000"/>
          <w:sz w:val="20"/>
          <w:szCs w:val="20"/>
        </w:rPr>
        <w:t>u</w:t>
      </w:r>
      <w:r w:rsidRPr="00F16552">
        <w:rPr>
          <w:rFonts w:ascii="Arial" w:eastAsiaTheme="majorEastAsia" w:hAnsi="Arial" w:cs="Arial"/>
          <w:color w:val="000000"/>
          <w:sz w:val="20"/>
          <w:szCs w:val="20"/>
        </w:rPr>
        <w:t>sługi cateringowe stanowią czynności odrębne od usługi gastronomicznej. Ograniczenie z art. 88 ust. 1 pkt 4 ustawy nie ma zastosowania.</w:t>
      </w:r>
    </w:p>
    <w:p w14:paraId="689E78F2" w14:textId="77777777" w:rsidR="00C608DC" w:rsidRPr="00F16552" w:rsidRDefault="00C608DC" w:rsidP="00C608DC">
      <w:pPr>
        <w:spacing w:after="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2292DB72" w14:textId="77777777" w:rsidR="00C608DC" w:rsidRPr="00F16552" w:rsidRDefault="00C608DC" w:rsidP="00C608DC">
      <w:pPr>
        <w:spacing w:after="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F16552">
        <w:rPr>
          <w:rFonts w:ascii="Arial" w:hAnsi="Arial" w:cs="Arial"/>
          <w:b/>
          <w:bCs/>
          <w:sz w:val="20"/>
          <w:szCs w:val="20"/>
        </w:rPr>
        <w:t>Co nowego z odliczeniem VAT od usług noclegowych?</w:t>
      </w:r>
    </w:p>
    <w:p w14:paraId="76F95DBB" w14:textId="77777777" w:rsidR="00C608DC" w:rsidRPr="00F16552" w:rsidRDefault="00C608DC" w:rsidP="00C608DC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F16552">
        <w:rPr>
          <w:rFonts w:ascii="Arial" w:hAnsi="Arial" w:cs="Arial"/>
          <w:sz w:val="20"/>
          <w:szCs w:val="20"/>
        </w:rPr>
        <w:t>Do końca 2020 r. ustawa o VAT przewidywała zakaz odliczania VAT od usług noclegowych i nie przewidywała w tym zakresie wyjątków, nawet na cele służbowe. Co teraz? Po zmianie przepisów można odliczyć VAT, gdy zakupione usługi noclegowe zostaną następnie refakturowane na inny podmiot.</w:t>
      </w:r>
      <w:r w:rsidRPr="00F16552">
        <w:rPr>
          <w:rFonts w:ascii="Arial" w:eastAsiaTheme="minorEastAsia" w:hAnsi="Arial" w:cs="Arial"/>
          <w:b/>
          <w:bCs/>
          <w:sz w:val="20"/>
          <w:szCs w:val="20"/>
          <w:lang w:eastAsia="pl-PL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 xml:space="preserve"> </w:t>
      </w:r>
      <w:r w:rsidRPr="00F16552">
        <w:rPr>
          <w:rFonts w:ascii="Arial" w:eastAsiaTheme="minorEastAsia" w:hAnsi="Arial" w:cs="Arial"/>
          <w:color w:val="000000"/>
          <w:sz w:val="20"/>
          <w:szCs w:val="20"/>
          <w:lang w:eastAsia="pl-PL"/>
        </w:rPr>
        <w:t>Pozostałe nabycie usług noclegowych, tj. do celów działalności podatnika i konsumowanych w tej działalności, nadal nie będzie generowało prawa do odliczenia.</w:t>
      </w:r>
    </w:p>
    <w:p w14:paraId="578DCD69" w14:textId="77777777" w:rsidR="00C608DC" w:rsidRDefault="00C608DC" w:rsidP="00C608DC">
      <w:pPr>
        <w:kinsoku w:val="0"/>
        <w:overflowPunct w:val="0"/>
        <w:spacing w:after="0" w:line="360" w:lineRule="auto"/>
        <w:jc w:val="both"/>
        <w:textAlignment w:val="baseline"/>
        <w:rPr>
          <w:rFonts w:ascii="Arial" w:eastAsiaTheme="minorEastAsia" w:hAnsi="Arial" w:cs="Arial"/>
          <w:b/>
          <w:bCs/>
          <w:sz w:val="20"/>
          <w:szCs w:val="20"/>
          <w:lang w:eastAsia="pl-PL"/>
        </w:rPr>
      </w:pPr>
    </w:p>
    <w:p w14:paraId="760E265C" w14:textId="77777777" w:rsidR="00C608DC" w:rsidRPr="00F16552" w:rsidRDefault="00C608DC" w:rsidP="00C608DC">
      <w:pPr>
        <w:kinsoku w:val="0"/>
        <w:overflowPunct w:val="0"/>
        <w:spacing w:after="0" w:line="360" w:lineRule="auto"/>
        <w:jc w:val="both"/>
        <w:textAlignment w:val="baseline"/>
        <w:rPr>
          <w:rFonts w:ascii="Arial" w:eastAsiaTheme="minorEastAsia" w:hAnsi="Arial" w:cs="Arial"/>
          <w:b/>
          <w:bCs/>
          <w:sz w:val="20"/>
          <w:szCs w:val="20"/>
          <w:lang w:eastAsia="pl-PL"/>
        </w:rPr>
      </w:pPr>
      <w:r w:rsidRPr="00F16552">
        <w:rPr>
          <w:rFonts w:ascii="Arial" w:eastAsiaTheme="minorEastAsia" w:hAnsi="Arial" w:cs="Arial"/>
          <w:b/>
          <w:bCs/>
          <w:sz w:val="20"/>
          <w:szCs w:val="20"/>
          <w:lang w:eastAsia="pl-PL"/>
        </w:rPr>
        <w:t>Podstawowe pytanie</w:t>
      </w:r>
      <w:r>
        <w:rPr>
          <w:rFonts w:ascii="Arial" w:eastAsiaTheme="minorEastAsia" w:hAnsi="Arial" w:cs="Arial"/>
          <w:b/>
          <w:bCs/>
          <w:sz w:val="20"/>
          <w:szCs w:val="20"/>
          <w:lang w:eastAsia="pl-PL"/>
        </w:rPr>
        <w:t xml:space="preserve"> –</w:t>
      </w:r>
      <w:r w:rsidRPr="00F16552">
        <w:rPr>
          <w:rFonts w:ascii="Arial" w:eastAsiaTheme="minorEastAsia" w:hAnsi="Arial" w:cs="Arial"/>
          <w:b/>
          <w:bCs/>
          <w:sz w:val="20"/>
          <w:szCs w:val="20"/>
          <w:lang w:eastAsia="pl-PL"/>
        </w:rPr>
        <w:t xml:space="preserve"> czy prawidłowo refakturujemy? </w:t>
      </w:r>
    </w:p>
    <w:p w14:paraId="17E282DF" w14:textId="77777777" w:rsidR="00C608DC" w:rsidRPr="00F16552" w:rsidRDefault="00C608DC" w:rsidP="00C608DC">
      <w:pPr>
        <w:kinsoku w:val="0"/>
        <w:overflowPunct w:val="0"/>
        <w:spacing w:after="0" w:line="360" w:lineRule="auto"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F16552">
        <w:rPr>
          <w:rFonts w:ascii="Arial" w:eastAsiaTheme="minorEastAsia" w:hAnsi="Arial" w:cs="Arial"/>
          <w:bCs/>
          <w:sz w:val="20"/>
          <w:szCs w:val="20"/>
          <w:lang w:eastAsia="pl-PL"/>
        </w:rPr>
        <w:t xml:space="preserve">Warto przeanalizować ten problem, bo skoro jest on wątpliwie umocowany w przepisach prawa, to jest świetną pożywką dla fiskusa! </w:t>
      </w:r>
      <w:r w:rsidRPr="00F16552">
        <w:rPr>
          <w:rFonts w:ascii="Arial" w:eastAsiaTheme="minorEastAsia" w:hAnsi="Arial" w:cs="Arial"/>
          <w:color w:val="000000"/>
          <w:sz w:val="20"/>
          <w:szCs w:val="20"/>
          <w:lang w:eastAsia="pl-PL"/>
        </w:rPr>
        <w:t>Wprowadz</w:t>
      </w:r>
      <w:r>
        <w:rPr>
          <w:rFonts w:ascii="Arial" w:eastAsiaTheme="minorEastAsia" w:hAnsi="Arial" w:cs="Arial"/>
          <w:color w:val="000000"/>
          <w:sz w:val="20"/>
          <w:szCs w:val="20"/>
          <w:lang w:eastAsia="pl-PL"/>
        </w:rPr>
        <w:t>o</w:t>
      </w:r>
      <w:r w:rsidRPr="00F16552">
        <w:rPr>
          <w:rFonts w:ascii="Arial" w:eastAsiaTheme="minorEastAsia" w:hAnsi="Arial" w:cs="Arial"/>
          <w:color w:val="000000"/>
          <w:sz w:val="20"/>
          <w:szCs w:val="20"/>
          <w:lang w:eastAsia="pl-PL"/>
        </w:rPr>
        <w:t>ne rozwiązanie nie dotyczy także usług nabywanych przez podatników dla bezpośredniej korzyści turysty (rozliczanych obligatoryjnie w systemie VAT-marża). W</w:t>
      </w:r>
      <w:r>
        <w:rPr>
          <w:rFonts w:ascii="Arial" w:eastAsiaTheme="minorEastAsia" w:hAnsi="Arial" w:cs="Arial"/>
          <w:color w:val="000000"/>
          <w:sz w:val="20"/>
          <w:szCs w:val="20"/>
          <w:lang w:eastAsia="pl-PL"/>
        </w:rPr>
        <w:t> </w:t>
      </w:r>
      <w:r w:rsidRPr="00F16552">
        <w:rPr>
          <w:rFonts w:ascii="Arial" w:eastAsiaTheme="minorEastAsia" w:hAnsi="Arial" w:cs="Arial"/>
          <w:color w:val="000000"/>
          <w:sz w:val="20"/>
          <w:szCs w:val="20"/>
          <w:lang w:eastAsia="pl-PL"/>
        </w:rPr>
        <w:t>tym wypadku zastosowanie znajduje wyłączenie z możliwości odliczenia na podstawie art. 119 ust. 4 ustawy o VAT.</w:t>
      </w:r>
    </w:p>
    <w:p w14:paraId="67C36AC5" w14:textId="77777777" w:rsidR="00C608DC" w:rsidRDefault="00C608DC" w:rsidP="00C608DC">
      <w:pPr>
        <w:kinsoku w:val="0"/>
        <w:overflowPunct w:val="0"/>
        <w:spacing w:after="0" w:line="360" w:lineRule="auto"/>
        <w:jc w:val="both"/>
        <w:textAlignment w:val="baseline"/>
        <w:rPr>
          <w:rFonts w:ascii="Arial" w:eastAsiaTheme="minorEastAsia" w:hAnsi="Arial" w:cs="Arial"/>
          <w:b/>
          <w:bCs/>
          <w:color w:val="000000"/>
          <w:sz w:val="20"/>
          <w:szCs w:val="20"/>
          <w:lang w:eastAsia="pl-PL"/>
        </w:rPr>
      </w:pPr>
      <w:r w:rsidRPr="00F16552">
        <w:rPr>
          <w:rFonts w:ascii="Arial" w:eastAsiaTheme="minorEastAsia" w:hAnsi="Arial" w:cs="Arial"/>
          <w:bCs/>
          <w:color w:val="000000"/>
          <w:sz w:val="20"/>
          <w:szCs w:val="20"/>
          <w:lang w:eastAsia="pl-PL"/>
        </w:rPr>
        <w:t>Co istotne, niestety przy okazji tej zmiany ustawodawca nie zdecydował się wprowadzić podobnych regulacji w odniesieniu do usług gastronomicznych, od nabycia których również nie odliczymy VAT (z</w:t>
      </w:r>
      <w:r>
        <w:rPr>
          <w:rFonts w:ascii="Arial" w:eastAsiaTheme="minorEastAsia" w:hAnsi="Arial" w:cs="Arial"/>
          <w:bCs/>
          <w:color w:val="000000"/>
          <w:sz w:val="20"/>
          <w:szCs w:val="20"/>
          <w:lang w:eastAsia="pl-PL"/>
        </w:rPr>
        <w:t> </w:t>
      </w:r>
      <w:r w:rsidRPr="00F16552">
        <w:rPr>
          <w:rFonts w:ascii="Arial" w:eastAsiaTheme="minorEastAsia" w:hAnsi="Arial" w:cs="Arial"/>
          <w:bCs/>
          <w:color w:val="000000"/>
          <w:sz w:val="20"/>
          <w:szCs w:val="20"/>
          <w:lang w:eastAsia="pl-PL"/>
        </w:rPr>
        <w:t>wyjątkiem nabycia posiłków dla pasażerów). Zdaniem MF brak zmian w tym zakresie wynika z innej specyfiki tych świadczeń… (?)</w:t>
      </w:r>
    </w:p>
    <w:p w14:paraId="4EE3E587" w14:textId="77777777" w:rsidR="00C608DC" w:rsidRPr="00F16552" w:rsidRDefault="00C608DC" w:rsidP="00C608DC">
      <w:pPr>
        <w:kinsoku w:val="0"/>
        <w:overflowPunct w:val="0"/>
        <w:spacing w:after="0" w:line="360" w:lineRule="auto"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</w:p>
    <w:p w14:paraId="17E93D58" w14:textId="77777777" w:rsidR="00C608DC" w:rsidRPr="00AE3E09" w:rsidRDefault="00C608DC" w:rsidP="00C608DC">
      <w:pPr>
        <w:rPr>
          <w:b/>
          <w:bCs/>
        </w:rPr>
      </w:pPr>
      <w:r w:rsidRPr="00AE3E09">
        <w:rPr>
          <w:b/>
          <w:bCs/>
        </w:rPr>
        <w:t>Podstawa prawna</w:t>
      </w:r>
    </w:p>
    <w:p w14:paraId="69E30F84" w14:textId="77777777" w:rsidR="00C608DC" w:rsidRPr="005A5B40" w:rsidRDefault="00C608DC" w:rsidP="00C608DC">
      <w:pPr>
        <w:pStyle w:val="Akapitzlist"/>
        <w:numPr>
          <w:ilvl w:val="0"/>
          <w:numId w:val="1"/>
        </w:numPr>
        <w:kinsoku w:val="0"/>
        <w:overflowPunct w:val="0"/>
        <w:spacing w:after="0" w:line="360" w:lineRule="auto"/>
        <w:ind w:left="284" w:hanging="284"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5A5B40">
        <w:rPr>
          <w:rFonts w:ascii="Arial" w:eastAsiaTheme="minorEastAsia" w:hAnsi="Arial" w:cs="Arial"/>
          <w:color w:val="000000"/>
          <w:sz w:val="20"/>
          <w:szCs w:val="20"/>
          <w:lang w:eastAsia="pl-PL"/>
        </w:rPr>
        <w:t xml:space="preserve">Artykuł 88 ust. 1 pkt 4 ustawy z </w:t>
      </w:r>
      <w:r>
        <w:rPr>
          <w:rFonts w:ascii="Arial" w:eastAsiaTheme="minorEastAsia" w:hAnsi="Arial" w:cs="Arial"/>
          <w:color w:val="000000"/>
          <w:sz w:val="20"/>
          <w:szCs w:val="20"/>
          <w:lang w:eastAsia="pl-PL"/>
        </w:rPr>
        <w:t xml:space="preserve">dnia </w:t>
      </w:r>
      <w:r w:rsidRPr="005A5B40">
        <w:rPr>
          <w:rFonts w:ascii="Arial" w:eastAsiaTheme="minorEastAsia" w:hAnsi="Arial" w:cs="Arial"/>
          <w:color w:val="000000"/>
          <w:sz w:val="20"/>
          <w:szCs w:val="20"/>
          <w:lang w:eastAsia="pl-PL"/>
        </w:rPr>
        <w:t>11 marca 2004 r. o podatku od towarów i usług (</w:t>
      </w:r>
      <w:proofErr w:type="spellStart"/>
      <w:r w:rsidRPr="005A5B40">
        <w:rPr>
          <w:rFonts w:ascii="Arial" w:eastAsiaTheme="minorEastAsia" w:hAnsi="Arial" w:cs="Arial"/>
          <w:color w:val="000000"/>
          <w:sz w:val="20"/>
          <w:szCs w:val="20"/>
          <w:lang w:eastAsia="pl-PL"/>
        </w:rPr>
        <w:t>t.j</w:t>
      </w:r>
      <w:proofErr w:type="spellEnd"/>
      <w:r w:rsidRPr="005A5B40">
        <w:rPr>
          <w:rFonts w:ascii="Arial" w:eastAsiaTheme="minorEastAsia" w:hAnsi="Arial" w:cs="Arial"/>
          <w:color w:val="000000"/>
          <w:sz w:val="20"/>
          <w:szCs w:val="20"/>
          <w:lang w:eastAsia="pl-PL"/>
        </w:rPr>
        <w:t>. Dz. U. z 2020 r.</w:t>
      </w:r>
      <w:r>
        <w:rPr>
          <w:rFonts w:ascii="Arial" w:eastAsiaTheme="minorEastAsia" w:hAnsi="Arial" w:cs="Arial"/>
          <w:color w:val="000000"/>
          <w:sz w:val="20"/>
          <w:szCs w:val="20"/>
          <w:lang w:eastAsia="pl-PL"/>
        </w:rPr>
        <w:t>,</w:t>
      </w:r>
      <w:r w:rsidRPr="005A5B40">
        <w:rPr>
          <w:rFonts w:ascii="Arial" w:eastAsiaTheme="minorEastAsia" w:hAnsi="Arial" w:cs="Arial"/>
          <w:color w:val="000000"/>
          <w:sz w:val="20"/>
          <w:szCs w:val="20"/>
          <w:lang w:eastAsia="pl-PL"/>
        </w:rPr>
        <w:t xml:space="preserve"> poz. 106; </w:t>
      </w:r>
      <w:proofErr w:type="spellStart"/>
      <w:r w:rsidRPr="005A5B40">
        <w:rPr>
          <w:rFonts w:ascii="Arial" w:eastAsiaTheme="minorEastAsia" w:hAnsi="Arial" w:cs="Arial"/>
          <w:color w:val="000000"/>
          <w:sz w:val="20"/>
          <w:szCs w:val="20"/>
          <w:lang w:eastAsia="pl-PL"/>
        </w:rPr>
        <w:t>ost</w:t>
      </w:r>
      <w:proofErr w:type="spellEnd"/>
      <w:r w:rsidRPr="005A5B40">
        <w:rPr>
          <w:rFonts w:ascii="Arial" w:eastAsiaTheme="minorEastAsia" w:hAnsi="Arial" w:cs="Arial"/>
          <w:color w:val="000000"/>
          <w:sz w:val="20"/>
          <w:szCs w:val="20"/>
          <w:lang w:eastAsia="pl-PL"/>
        </w:rPr>
        <w:t>. zm. Dz. U. z 2020 r.</w:t>
      </w:r>
      <w:r>
        <w:rPr>
          <w:rFonts w:ascii="Arial" w:eastAsiaTheme="minorEastAsia" w:hAnsi="Arial" w:cs="Arial"/>
          <w:color w:val="000000"/>
          <w:sz w:val="20"/>
          <w:szCs w:val="20"/>
          <w:lang w:eastAsia="pl-PL"/>
        </w:rPr>
        <w:t>,</w:t>
      </w:r>
      <w:r w:rsidRPr="005A5B40">
        <w:rPr>
          <w:rFonts w:ascii="Arial" w:eastAsiaTheme="minorEastAsia" w:hAnsi="Arial" w:cs="Arial"/>
          <w:color w:val="000000"/>
          <w:sz w:val="20"/>
          <w:szCs w:val="20"/>
          <w:lang w:eastAsia="pl-PL"/>
        </w:rPr>
        <w:t xml:space="preserve"> poz. 2419)</w:t>
      </w:r>
      <w:r>
        <w:rPr>
          <w:rFonts w:ascii="Arial" w:eastAsiaTheme="minorEastAsia" w:hAnsi="Arial" w:cs="Arial"/>
          <w:color w:val="000000"/>
          <w:sz w:val="20"/>
          <w:szCs w:val="20"/>
          <w:lang w:eastAsia="pl-PL"/>
        </w:rPr>
        <w:t>.</w:t>
      </w:r>
    </w:p>
    <w:p w14:paraId="54F59642" w14:textId="77777777" w:rsidR="0054151C" w:rsidRDefault="0054151C">
      <w:bookmarkStart w:id="0" w:name="_GoBack"/>
      <w:bookmarkEnd w:id="0"/>
    </w:p>
    <w:sectPr w:rsidR="0054151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D7055E"/>
    <w:multiLevelType w:val="hybridMultilevel"/>
    <w:tmpl w:val="2EA6E2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43DE"/>
    <w:rsid w:val="0054151C"/>
    <w:rsid w:val="009143DE"/>
    <w:rsid w:val="00C608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DF0140E-7D31-45D3-84D1-D104E294C4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C608D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umerowanie,List Paragraph"/>
    <w:basedOn w:val="Normalny"/>
    <w:link w:val="AkapitzlistZnak"/>
    <w:uiPriority w:val="34"/>
    <w:qFormat/>
    <w:rsid w:val="00C608DC"/>
    <w:pPr>
      <w:ind w:left="720"/>
      <w:contextualSpacing/>
    </w:pPr>
  </w:style>
  <w:style w:type="character" w:customStyle="1" w:styleId="AkapitzlistZnak">
    <w:name w:val="Akapit z listą Znak"/>
    <w:aliases w:val="Numerowanie Znak,List Paragraph Znak"/>
    <w:basedOn w:val="Domylnaczcionkaakapitu"/>
    <w:link w:val="Akapitzlist"/>
    <w:uiPriority w:val="34"/>
    <w:locked/>
    <w:rsid w:val="00C608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298</Words>
  <Characters>1790</Characters>
  <Application>Microsoft Office Word</Application>
  <DocSecurity>0</DocSecurity>
  <Lines>14</Lines>
  <Paragraphs>4</Paragraphs>
  <ScaleCrop>false</ScaleCrop>
  <Company>Forum Media Polska</Company>
  <LinksUpToDate>false</LinksUpToDate>
  <CharactersWithSpaces>2084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Sawicki Jakub</dc:creator>
  <cp:keywords/>
  <dc:description/>
  <cp:lastModifiedBy>Sawicki Jakub</cp:lastModifiedBy>
  <cp:revision>2</cp:revision>
  <dcterms:created xsi:type="dcterms:W3CDTF">2024-08-08T11:45:00Z</dcterms:created>
  <dcterms:modified xsi:type="dcterms:W3CDTF">2024-08-08T11:45:00Z</dcterms:modified>
</cp:coreProperties>
</file>